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8DC3" w14:textId="77777777" w:rsidR="00210B77" w:rsidRDefault="00210B77">
      <w:pPr>
        <w:pStyle w:val="Tekstpodstawowy"/>
        <w:spacing w:before="214"/>
        <w:ind w:left="220"/>
        <w:jc w:val="center"/>
      </w:pPr>
    </w:p>
    <w:p w14:paraId="26B31FFF" w14:textId="77777777" w:rsidR="00210B77" w:rsidRDefault="00B4283E">
      <w:pPr>
        <w:pStyle w:val="Nagwek1"/>
        <w:ind w:right="114"/>
        <w:jc w:val="right"/>
        <w:rPr>
          <w:rFonts w:ascii="TeXGyreAdventor" w:hAnsi="TeXGyreAdventor"/>
        </w:rPr>
      </w:pPr>
      <w:r>
        <w:rPr>
          <w:rFonts w:ascii="TeXGyreAdventor" w:hAnsi="TeXGyreAdventor"/>
        </w:rPr>
        <w:t>Załącznik nr 2 Regulaminu</w:t>
      </w:r>
    </w:p>
    <w:p w14:paraId="40DF4F48" w14:textId="77777777" w:rsidR="00210B77" w:rsidRDefault="00B4283E">
      <w:pPr>
        <w:pStyle w:val="Tytu"/>
      </w:pPr>
      <w:r>
        <w:t>KOSZTY KWALIFIKOWALNE</w:t>
      </w:r>
    </w:p>
    <w:p w14:paraId="51F1483C" w14:textId="77777777" w:rsidR="00210B77" w:rsidRDefault="00B4283E">
      <w:pPr>
        <w:spacing w:before="261"/>
        <w:ind w:left="3399" w:right="3360"/>
        <w:jc w:val="center"/>
        <w:rPr>
          <w:rFonts w:ascii="Gothic Uralic" w:hAnsi="Gothic Uralic"/>
          <w:b/>
          <w:sz w:val="24"/>
        </w:rPr>
      </w:pPr>
      <w:r>
        <w:rPr>
          <w:rFonts w:ascii="Gothic Uralic" w:hAnsi="Gothic Uralic"/>
          <w:b/>
          <w:sz w:val="24"/>
        </w:rPr>
        <w:t>WYKAZ</w:t>
      </w:r>
    </w:p>
    <w:p w14:paraId="306CFFC9" w14:textId="77777777" w:rsidR="00210B77" w:rsidRDefault="00B4283E">
      <w:pPr>
        <w:pStyle w:val="Nagwek1"/>
        <w:spacing w:before="203"/>
        <w:ind w:left="160"/>
        <w:rPr>
          <w:rFonts w:ascii="TeXGyreAdventor" w:hAnsi="TeXGyreAdventor"/>
        </w:rPr>
      </w:pPr>
      <w:r>
        <w:rPr>
          <w:rFonts w:ascii="TeXGyreAdventor" w:hAnsi="TeXGyreAdventor"/>
        </w:rPr>
        <w:t>Wykaz kosztów kwalifikowalnych konkursu na inicjatywy lokalne:</w:t>
      </w:r>
    </w:p>
    <w:p w14:paraId="609DA1A0" w14:textId="77777777" w:rsidR="00210B77" w:rsidRDefault="00210B77">
      <w:pPr>
        <w:pStyle w:val="Tekstpodstawowy"/>
        <w:spacing w:before="4"/>
        <w:ind w:left="0"/>
        <w:jc w:val="left"/>
        <w:rPr>
          <w:sz w:val="8"/>
        </w:rPr>
      </w:pPr>
    </w:p>
    <w:p w14:paraId="1A4E6EA3" w14:textId="77777777" w:rsidR="00210B77" w:rsidRDefault="00B4283E">
      <w:pPr>
        <w:pStyle w:val="Akapitzlist"/>
        <w:numPr>
          <w:ilvl w:val="0"/>
          <w:numId w:val="1"/>
        </w:numPr>
        <w:tabs>
          <w:tab w:val="left" w:pos="588"/>
        </w:tabs>
        <w:spacing w:before="67" w:line="315" w:lineRule="exact"/>
      </w:pPr>
      <w:r>
        <w:t>Wydatki związane z realizacją zadania muszą spełniać następujące warunki</w:t>
      </w:r>
      <w:r>
        <w:rPr>
          <w:spacing w:val="-16"/>
        </w:rPr>
        <w:t xml:space="preserve"> </w:t>
      </w:r>
      <w:r>
        <w:t>(łącznie):</w:t>
      </w:r>
    </w:p>
    <w:p w14:paraId="4DF73230" w14:textId="77777777" w:rsidR="00210B77" w:rsidRDefault="00B4283E">
      <w:pPr>
        <w:pStyle w:val="Akapitzlist"/>
        <w:numPr>
          <w:ilvl w:val="1"/>
          <w:numId w:val="1"/>
        </w:numPr>
        <w:tabs>
          <w:tab w:val="left" w:pos="1155"/>
        </w:tabs>
        <w:spacing w:line="311" w:lineRule="exact"/>
        <w:ind w:hanging="361"/>
      </w:pPr>
      <w:r>
        <w:t>niezbędne dla realizacji</w:t>
      </w:r>
      <w:r>
        <w:rPr>
          <w:spacing w:val="-3"/>
        </w:rPr>
        <w:t xml:space="preserve"> </w:t>
      </w:r>
      <w:r>
        <w:t>zadania;</w:t>
      </w:r>
    </w:p>
    <w:p w14:paraId="1F4D4683" w14:textId="77777777" w:rsidR="00210B77" w:rsidRDefault="00B4283E">
      <w:pPr>
        <w:pStyle w:val="Akapitzlist"/>
        <w:numPr>
          <w:ilvl w:val="1"/>
          <w:numId w:val="1"/>
        </w:numPr>
        <w:tabs>
          <w:tab w:val="left" w:pos="1155"/>
        </w:tabs>
        <w:spacing w:line="311" w:lineRule="exact"/>
        <w:ind w:hanging="361"/>
      </w:pPr>
      <w:r>
        <w:t>efektywne i</w:t>
      </w:r>
      <w:r>
        <w:rPr>
          <w:spacing w:val="-2"/>
        </w:rPr>
        <w:t xml:space="preserve"> </w:t>
      </w:r>
      <w:r>
        <w:t>racjonalne;</w:t>
      </w:r>
    </w:p>
    <w:p w14:paraId="7296D8B8" w14:textId="116B2E22" w:rsidR="00210B77" w:rsidRDefault="00B4283E">
      <w:pPr>
        <w:pStyle w:val="Akapitzlist"/>
        <w:numPr>
          <w:ilvl w:val="1"/>
          <w:numId w:val="1"/>
        </w:numPr>
        <w:tabs>
          <w:tab w:val="left" w:pos="1155"/>
        </w:tabs>
        <w:spacing w:before="2" w:line="228" w:lineRule="auto"/>
        <w:ind w:right="117"/>
      </w:pPr>
      <w:r>
        <w:t>poniesione  w  okresie  kwalifikowalności  wydatków,  tj.  w  danym  roku  budżetowym,</w:t>
      </w:r>
      <w:r>
        <w:rPr>
          <w:spacing w:val="60"/>
        </w:rPr>
        <w:t xml:space="preserve"> </w:t>
      </w:r>
      <w:r>
        <w:t xml:space="preserve">w którym dofinansowanie zostało przyznane, nie </w:t>
      </w:r>
      <w:r w:rsidRPr="00F64D9A">
        <w:t xml:space="preserve">wcześniej niż od </w:t>
      </w:r>
      <w:r w:rsidR="00F64D9A" w:rsidRPr="00F64D9A">
        <w:rPr>
          <w:b/>
          <w:bCs/>
        </w:rPr>
        <w:t>1 września do 3</w:t>
      </w:r>
      <w:r w:rsidR="008A725A">
        <w:rPr>
          <w:b/>
          <w:bCs/>
        </w:rPr>
        <w:t>0</w:t>
      </w:r>
      <w:r w:rsidR="00F64D9A" w:rsidRPr="00F64D9A">
        <w:rPr>
          <w:b/>
          <w:bCs/>
        </w:rPr>
        <w:t xml:space="preserve"> </w:t>
      </w:r>
      <w:r w:rsidR="008A725A">
        <w:rPr>
          <w:b/>
          <w:bCs/>
        </w:rPr>
        <w:t>listopada</w:t>
      </w:r>
      <w:r w:rsidR="00F64D9A" w:rsidRPr="00F64D9A">
        <w:rPr>
          <w:b/>
          <w:bCs/>
        </w:rPr>
        <w:t xml:space="preserve"> 2020r.</w:t>
      </w:r>
    </w:p>
    <w:p w14:paraId="2004EF7A" w14:textId="77777777" w:rsidR="00210B77" w:rsidRDefault="00B4283E">
      <w:pPr>
        <w:pStyle w:val="Akapitzlist"/>
        <w:numPr>
          <w:ilvl w:val="1"/>
          <w:numId w:val="1"/>
        </w:numPr>
        <w:tabs>
          <w:tab w:val="left" w:pos="1155"/>
        </w:tabs>
        <w:spacing w:line="308" w:lineRule="exact"/>
        <w:ind w:hanging="361"/>
      </w:pPr>
      <w:r>
        <w:t>udokumentowane;</w:t>
      </w:r>
    </w:p>
    <w:p w14:paraId="7863CCB2" w14:textId="77777777" w:rsidR="00210B77" w:rsidRDefault="00B4283E">
      <w:pPr>
        <w:pStyle w:val="Akapitzlist"/>
        <w:numPr>
          <w:ilvl w:val="1"/>
          <w:numId w:val="1"/>
        </w:numPr>
        <w:tabs>
          <w:tab w:val="left" w:pos="1155"/>
        </w:tabs>
        <w:spacing w:line="315" w:lineRule="exact"/>
        <w:ind w:hanging="361"/>
      </w:pPr>
      <w:r>
        <w:t>poniesione na rzecz realizacji inicjatywy przez Dom Kultury w Łapach (faktura, umowa,</w:t>
      </w:r>
      <w:r>
        <w:rPr>
          <w:spacing w:val="-18"/>
        </w:rPr>
        <w:t xml:space="preserve"> </w:t>
      </w:r>
      <w:r>
        <w:t>rachunek)</w:t>
      </w:r>
    </w:p>
    <w:p w14:paraId="27B0BD67" w14:textId="77777777" w:rsidR="00210B77" w:rsidRDefault="00210B77">
      <w:pPr>
        <w:pStyle w:val="Tekstpodstawowy"/>
        <w:spacing w:before="8"/>
        <w:ind w:left="0"/>
        <w:jc w:val="left"/>
        <w:rPr>
          <w:sz w:val="20"/>
        </w:rPr>
      </w:pPr>
    </w:p>
    <w:p w14:paraId="425EF242" w14:textId="77777777" w:rsidR="00210B77" w:rsidRDefault="00B4283E">
      <w:pPr>
        <w:pStyle w:val="Akapitzlist"/>
        <w:numPr>
          <w:ilvl w:val="0"/>
          <w:numId w:val="1"/>
        </w:numPr>
        <w:tabs>
          <w:tab w:val="left" w:pos="588"/>
        </w:tabs>
        <w:spacing w:before="1" w:line="316" w:lineRule="exact"/>
      </w:pPr>
      <w:r>
        <w:t>Za wydatki kwalifikowane uznaje</w:t>
      </w:r>
      <w:r>
        <w:rPr>
          <w:spacing w:val="-5"/>
        </w:rPr>
        <w:t xml:space="preserve"> </w:t>
      </w:r>
      <w:r>
        <w:t>się:</w:t>
      </w:r>
    </w:p>
    <w:p w14:paraId="4F809FA6" w14:textId="77777777" w:rsidR="00210B77" w:rsidRDefault="00B4283E">
      <w:pPr>
        <w:pStyle w:val="Akapitzlist"/>
        <w:tabs>
          <w:tab w:val="left" w:pos="336"/>
        </w:tabs>
        <w:spacing w:before="3" w:line="228" w:lineRule="auto"/>
        <w:ind w:left="320" w:right="113"/>
      </w:pPr>
      <w:r>
        <w:t xml:space="preserve">– honoraria/wynagrodzenia za działania merytoryczne i obsługę przedsięwzięcia, instruktorów – prowadzących warsztaty, twórców/artystów, koordynatora zadania, redaktorów i autorów tekstów do publikacji, członków jury, konferansjerów i osób prowadzących (np. koncerty, spotkania z artystami), tłumaczy, opiekunów dzieci, osób niepełnosprawnych uczestniczących w projekcie, pracowników obsługi technicznej przedsięwzięć w ramach zadania (scena, nagłośnienie, oświetlenie, nagranie, strojenie instrumentów, dokumentacja – z wyłączeniem kosztów sprzątania), osób przygotowujących ewaluację i dokumentację projektu; (UWAGA! </w:t>
      </w:r>
      <w:r>
        <w:rPr>
          <w:spacing w:val="3"/>
        </w:rPr>
        <w:t xml:space="preserve">Do  </w:t>
      </w:r>
      <w:r>
        <w:t>tej pozycji nie kwalifikują się płace pracowników etatowych wnioskodawcy. Są to wyłącznie koszty finansowane w oparciu o faktury oraz umowy zlecenia/o dzieło wraz z rachunkiem. UWAGA! Do tej pozycji kwalifikują się koszty delegacji i diet wolontariuszy uczestniczących w projekcie.)</w:t>
      </w:r>
    </w:p>
    <w:p w14:paraId="14797CB2" w14:textId="77777777" w:rsidR="00210B77" w:rsidRDefault="00B4283E">
      <w:pPr>
        <w:pStyle w:val="Akapitzlist"/>
        <w:tabs>
          <w:tab w:val="left" w:pos="436"/>
        </w:tabs>
        <w:spacing w:line="228" w:lineRule="auto"/>
        <w:ind w:left="320" w:right="123"/>
      </w:pPr>
      <w:r>
        <w:t>– zakup materiałów niezbędnych do realizacji zajęć warsztatowych oraz przedsięwzięć artystycznych, z wyłączeniem zakupu środków</w:t>
      </w:r>
      <w:r>
        <w:rPr>
          <w:spacing w:val="-11"/>
        </w:rPr>
        <w:t xml:space="preserve"> </w:t>
      </w:r>
      <w:r>
        <w:t>trwałych;</w:t>
      </w:r>
    </w:p>
    <w:p w14:paraId="13B186E4" w14:textId="77777777" w:rsidR="00210B77" w:rsidRDefault="00B4283E">
      <w:pPr>
        <w:pStyle w:val="Akapitzlist"/>
        <w:tabs>
          <w:tab w:val="left" w:pos="331"/>
        </w:tabs>
        <w:spacing w:line="228" w:lineRule="auto"/>
        <w:ind w:left="320" w:right="116"/>
      </w:pPr>
      <w:r>
        <w:t>– koszty podróży/transportu: uczestników warsztatów, artystów i in. osób związanych z realizacją zadania, scenografii, instrumentów, elementów wyposażenia</w:t>
      </w:r>
      <w:r>
        <w:rPr>
          <w:spacing w:val="-13"/>
        </w:rPr>
        <w:t xml:space="preserve"> </w:t>
      </w:r>
      <w:r>
        <w:t>technicznego/sceny;</w:t>
      </w:r>
    </w:p>
    <w:p w14:paraId="1C90A495" w14:textId="77777777" w:rsidR="00210B77" w:rsidRDefault="00B4283E">
      <w:pPr>
        <w:pStyle w:val="Akapitzlist"/>
        <w:tabs>
          <w:tab w:val="left" w:pos="295"/>
        </w:tabs>
        <w:spacing w:line="307" w:lineRule="exact"/>
        <w:ind w:left="319"/>
      </w:pPr>
      <w:r>
        <w:t xml:space="preserve">– poligrafia </w:t>
      </w:r>
      <w:bookmarkStart w:id="0" w:name="__DdeLink__2074_1094751919"/>
      <w:r>
        <w:t>–</w:t>
      </w:r>
      <w:bookmarkEnd w:id="0"/>
      <w:r>
        <w:t xml:space="preserve"> wydanie publikacji, stanowiących część zadania oraz ich</w:t>
      </w:r>
      <w:r>
        <w:rPr>
          <w:spacing w:val="-19"/>
        </w:rPr>
        <w:t xml:space="preserve"> </w:t>
      </w:r>
      <w:r>
        <w:t>dystrybucja;</w:t>
      </w:r>
    </w:p>
    <w:p w14:paraId="7406B41A" w14:textId="77777777" w:rsidR="00210B77" w:rsidRDefault="00B4283E">
      <w:pPr>
        <w:pStyle w:val="Akapitzlist"/>
        <w:tabs>
          <w:tab w:val="left" w:pos="295"/>
        </w:tabs>
        <w:spacing w:line="311" w:lineRule="exact"/>
        <w:ind w:left="319"/>
      </w:pPr>
      <w:r>
        <w:t>– koszty nagrań (audio i video) materiałów stanowiących część</w:t>
      </w:r>
      <w:r>
        <w:rPr>
          <w:spacing w:val="-18"/>
        </w:rPr>
        <w:t xml:space="preserve"> </w:t>
      </w:r>
      <w:r>
        <w:t>zadania;</w:t>
      </w:r>
    </w:p>
    <w:p w14:paraId="403850B1" w14:textId="77777777" w:rsidR="00210B77" w:rsidRDefault="00B4283E">
      <w:pPr>
        <w:pStyle w:val="Akapitzlist"/>
        <w:tabs>
          <w:tab w:val="left" w:pos="381"/>
        </w:tabs>
        <w:spacing w:line="228" w:lineRule="auto"/>
        <w:ind w:left="320" w:right="118"/>
      </w:pPr>
      <w:r>
        <w:t>– scenografia i stroje: projekt, wykonanie (w tym koszt materiałów, z wyłączeniem zakupu gotowych</w:t>
      </w:r>
      <w:r>
        <w:rPr>
          <w:spacing w:val="-3"/>
        </w:rPr>
        <w:t xml:space="preserve"> </w:t>
      </w:r>
      <w:r>
        <w:t>strojów);</w:t>
      </w:r>
    </w:p>
    <w:p w14:paraId="4B7C6AE5" w14:textId="77777777" w:rsidR="00210B77" w:rsidRDefault="00B4283E">
      <w:pPr>
        <w:pStyle w:val="Akapitzlist"/>
        <w:tabs>
          <w:tab w:val="left" w:pos="309"/>
        </w:tabs>
        <w:spacing w:line="228" w:lineRule="auto"/>
        <w:ind w:left="320" w:right="125"/>
      </w:pPr>
      <w:r>
        <w:t>– noclegi i wyżywienie dla uczestników przedsięwzięć organizowanych w ramach zadania, w tym artystów i</w:t>
      </w:r>
      <w:r>
        <w:rPr>
          <w:spacing w:val="-3"/>
        </w:rPr>
        <w:t xml:space="preserve"> </w:t>
      </w:r>
      <w:r>
        <w:t>jurorów;</w:t>
      </w:r>
    </w:p>
    <w:p w14:paraId="7F1DAFCD" w14:textId="77777777" w:rsidR="00210B77" w:rsidRDefault="00B4283E">
      <w:pPr>
        <w:pStyle w:val="Akapitzlist"/>
        <w:tabs>
          <w:tab w:val="left" w:pos="348"/>
        </w:tabs>
        <w:spacing w:line="228" w:lineRule="auto"/>
        <w:ind w:left="320" w:right="114"/>
      </w:pPr>
      <w:r>
        <w:t>– dokumentację/rejestrację realizacji zadania (filmowa, dźwiękowa, zdjęciowa) – koszty te nie mogą przekroczyć 20%</w:t>
      </w:r>
      <w:r>
        <w:rPr>
          <w:spacing w:val="-6"/>
        </w:rPr>
        <w:t xml:space="preserve"> </w:t>
      </w:r>
      <w:r>
        <w:t>dofinansowania;</w:t>
      </w:r>
    </w:p>
    <w:p w14:paraId="30EE38CB" w14:textId="77777777" w:rsidR="00210B77" w:rsidRDefault="00B4283E">
      <w:pPr>
        <w:pStyle w:val="Akapitzlist"/>
        <w:tabs>
          <w:tab w:val="left" w:pos="348"/>
        </w:tabs>
        <w:spacing w:line="228" w:lineRule="auto"/>
        <w:ind w:left="320" w:right="119"/>
      </w:pPr>
      <w:r>
        <w:t>– koszty promocji i kampanii informacyjnej (np. druki, zakup czasu antenowego, rozwój strony internetowej) – koszty te nie mogą przekroczyć 10%</w:t>
      </w:r>
      <w:r>
        <w:rPr>
          <w:spacing w:val="-16"/>
        </w:rPr>
        <w:t xml:space="preserve"> </w:t>
      </w:r>
      <w:r>
        <w:t>dofinansowania;</w:t>
      </w:r>
    </w:p>
    <w:p w14:paraId="3E059E2F" w14:textId="77777777" w:rsidR="00210B77" w:rsidRDefault="00B4283E">
      <w:pPr>
        <w:pStyle w:val="Akapitzlist"/>
        <w:tabs>
          <w:tab w:val="left" w:pos="295"/>
        </w:tabs>
        <w:spacing w:line="308" w:lineRule="exact"/>
        <w:ind w:left="319"/>
      </w:pPr>
      <w:r>
        <w:t>– zakup praw autorskich lub</w:t>
      </w:r>
      <w:r>
        <w:rPr>
          <w:spacing w:val="-7"/>
        </w:rPr>
        <w:t xml:space="preserve"> </w:t>
      </w:r>
      <w:r>
        <w:t>licencji</w:t>
      </w:r>
    </w:p>
    <w:p w14:paraId="78925420" w14:textId="77777777" w:rsidR="00210B77" w:rsidRDefault="00B4283E">
      <w:pPr>
        <w:pStyle w:val="Akapitzlist"/>
        <w:tabs>
          <w:tab w:val="left" w:pos="295"/>
        </w:tabs>
        <w:spacing w:line="315" w:lineRule="exact"/>
        <w:ind w:left="319"/>
      </w:pPr>
      <w:r>
        <w:t>– niezbędne</w:t>
      </w:r>
      <w:r>
        <w:rPr>
          <w:spacing w:val="-2"/>
        </w:rPr>
        <w:t xml:space="preserve"> </w:t>
      </w:r>
      <w:r>
        <w:t>ubezpieczenia</w:t>
      </w:r>
    </w:p>
    <w:p w14:paraId="20B254C6" w14:textId="77777777" w:rsidR="00210B77" w:rsidRDefault="00210B77">
      <w:pPr>
        <w:pStyle w:val="Tekstpodstawowy"/>
        <w:ind w:left="0"/>
        <w:jc w:val="left"/>
        <w:rPr>
          <w:sz w:val="20"/>
        </w:rPr>
      </w:pPr>
    </w:p>
    <w:p w14:paraId="746B0139" w14:textId="77777777" w:rsidR="00210B77" w:rsidRDefault="00210B77">
      <w:pPr>
        <w:pStyle w:val="Tekstpodstawowy"/>
        <w:ind w:left="0"/>
        <w:jc w:val="left"/>
        <w:rPr>
          <w:sz w:val="20"/>
        </w:rPr>
      </w:pPr>
    </w:p>
    <w:p w14:paraId="481AEAFB" w14:textId="77777777" w:rsidR="00210B77" w:rsidRDefault="00B4283E">
      <w:pPr>
        <w:pStyle w:val="Tekstpodstawowy"/>
        <w:ind w:left="0"/>
        <w:jc w:val="lef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3" behindDoc="0" locked="0" layoutInCell="1" allowOverlap="1" wp14:anchorId="7140C454" wp14:editId="5CB8CC5D">
            <wp:simplePos x="0" y="0"/>
            <wp:positionH relativeFrom="column">
              <wp:posOffset>-106045</wp:posOffset>
            </wp:positionH>
            <wp:positionV relativeFrom="paragraph">
              <wp:posOffset>130810</wp:posOffset>
            </wp:positionV>
            <wp:extent cx="1259840" cy="53911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58203" w14:textId="77777777" w:rsidR="00210B77" w:rsidRDefault="00B4283E">
      <w:pPr>
        <w:pStyle w:val="Nagwek1"/>
        <w:spacing w:before="214"/>
        <w:ind w:left="4409" w:right="542"/>
      </w:pPr>
      <w:r>
        <w:rPr>
          <w:noProof/>
        </w:rPr>
        <w:drawing>
          <wp:anchor distT="0" distB="0" distL="0" distR="0" simplePos="0" relativeHeight="2" behindDoc="0" locked="0" layoutInCell="1" allowOverlap="1" wp14:anchorId="388503BF" wp14:editId="61ED88CE">
            <wp:simplePos x="0" y="0"/>
            <wp:positionH relativeFrom="page">
              <wp:posOffset>1585595</wp:posOffset>
            </wp:positionH>
            <wp:positionV relativeFrom="paragraph">
              <wp:posOffset>-106680</wp:posOffset>
            </wp:positionV>
            <wp:extent cx="1409065" cy="70231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Dofinansowano ze środków Narodowego Centrum Kultury w ramach programu Dom Kultury+ Inicjatywy lokalne 2020.</w:t>
      </w:r>
    </w:p>
    <w:p w14:paraId="0D499D56" w14:textId="77777777" w:rsidR="00210B77" w:rsidRDefault="00210B77">
      <w:pPr>
        <w:pStyle w:val="Nagwek1"/>
        <w:spacing w:before="214"/>
        <w:ind w:left="4409" w:right="542"/>
      </w:pPr>
    </w:p>
    <w:p w14:paraId="5C25A377" w14:textId="77777777" w:rsidR="00210B77" w:rsidRDefault="00210B77">
      <w:pPr>
        <w:pStyle w:val="Tekstpodstawowy"/>
        <w:spacing w:before="214"/>
        <w:ind w:left="220"/>
        <w:jc w:val="left"/>
      </w:pPr>
    </w:p>
    <w:p w14:paraId="42527AE0" w14:textId="77777777" w:rsidR="00210B77" w:rsidRDefault="00210B77" w:rsidP="00F64D9A">
      <w:pPr>
        <w:pStyle w:val="Tekstpodstawowy"/>
        <w:spacing w:before="214"/>
        <w:ind w:left="0"/>
        <w:jc w:val="left"/>
      </w:pPr>
    </w:p>
    <w:sectPr w:rsidR="00210B77">
      <w:headerReference w:type="default" r:id="rId9"/>
      <w:pgSz w:w="11906" w:h="16838"/>
      <w:pgMar w:top="1536" w:right="600" w:bottom="0" w:left="560" w:header="54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055D" w14:textId="77777777" w:rsidR="0081664D" w:rsidRDefault="0081664D">
      <w:r>
        <w:separator/>
      </w:r>
    </w:p>
  </w:endnote>
  <w:endnote w:type="continuationSeparator" w:id="0">
    <w:p w14:paraId="18BDC855" w14:textId="77777777" w:rsidR="0081664D" w:rsidRDefault="0081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othic Uralic">
    <w:altName w:val="Cambria"/>
    <w:charset w:val="EE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9490" w14:textId="77777777" w:rsidR="0081664D" w:rsidRDefault="0081664D">
      <w:r>
        <w:separator/>
      </w:r>
    </w:p>
  </w:footnote>
  <w:footnote w:type="continuationSeparator" w:id="0">
    <w:p w14:paraId="33B39AE2" w14:textId="77777777" w:rsidR="0081664D" w:rsidRDefault="0081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_DdeLink__320_2392112495"/>
  <w:bookmarkEnd w:id="1"/>
  <w:p w14:paraId="6CE79E3D" w14:textId="77777777" w:rsidR="00210B77" w:rsidRDefault="00B4283E">
    <w:pPr>
      <w:pStyle w:val="Tekstpodstawowy"/>
      <w:spacing w:before="214"/>
      <w:ind w:left="220"/>
      <w:jc w:val="center"/>
      <w:rPr>
        <w:rFonts w:ascii="Bradley Hand ITC" w:hAnsi="Bradley Hand ITC"/>
        <w:b/>
        <w:bCs/>
        <w:i/>
        <w:i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C770B06" wp14:editId="1DEE9D01">
              <wp:simplePos x="0" y="0"/>
              <wp:positionH relativeFrom="column">
                <wp:posOffset>70485</wp:posOffset>
              </wp:positionH>
              <wp:positionV relativeFrom="paragraph">
                <wp:posOffset>495935</wp:posOffset>
              </wp:positionV>
              <wp:extent cx="4891405" cy="1270"/>
              <wp:effectExtent l="0" t="0" r="0" b="0"/>
              <wp:wrapNone/>
              <wp:docPr id="3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6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3A59" id="Kształt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55pt,39.05pt" to="390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" strokecolor="#999"/>
          </w:pict>
        </mc:Fallback>
      </mc:AlternateContent>
    </w:r>
    <w:r>
      <w:rPr>
        <w:rFonts w:ascii="Bradley Hand ITC" w:hAnsi="Bradley Hand ITC"/>
        <w:b/>
        <w:bCs/>
        <w:i/>
        <w:iCs/>
        <w:sz w:val="40"/>
        <w:szCs w:val="40"/>
      </w:rPr>
      <w:t>Domy dla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C233D"/>
    <w:multiLevelType w:val="multilevel"/>
    <w:tmpl w:val="4808AC20"/>
    <w:lvl w:ilvl="0">
      <w:start w:val="1"/>
      <w:numFmt w:val="decimal"/>
      <w:lvlText w:val="%1."/>
      <w:lvlJc w:val="left"/>
      <w:pPr>
        <w:ind w:left="587" w:hanging="361"/>
      </w:pPr>
      <w:rPr>
        <w:rFonts w:eastAsia="TeXGyreAdventor" w:cs="TeXGyreAdventor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rFonts w:eastAsia="TeXGyreAdventor" w:cs="TeXGyreAdventor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222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4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48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55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61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72E64342"/>
    <w:multiLevelType w:val="multilevel"/>
    <w:tmpl w:val="D832B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77"/>
    <w:rsid w:val="00210B77"/>
    <w:rsid w:val="0081664D"/>
    <w:rsid w:val="008A725A"/>
    <w:rsid w:val="00B4283E"/>
    <w:rsid w:val="00F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E71"/>
  <w15:docId w15:val="{49FD7DDF-215C-44AB-810A-A081070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eXGyreAdventor" w:eastAsia="TeXGyreAdventor" w:hAnsi="TeXGyreAdventor" w:cs="TeXGyreAdventor"/>
      <w:sz w:val="22"/>
      <w:lang w:val="pl-PL"/>
    </w:rPr>
  </w:style>
  <w:style w:type="paragraph" w:styleId="Nagwek1">
    <w:name w:val="heading 1"/>
    <w:basedOn w:val="Normalny"/>
    <w:uiPriority w:val="9"/>
    <w:qFormat/>
    <w:pPr>
      <w:spacing w:before="28"/>
      <w:outlineLvl w:val="0"/>
    </w:pPr>
    <w:rPr>
      <w:rFonts w:ascii="Carlito" w:eastAsia="Carlito" w:hAnsi="Carlito" w:cs="Carli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ind w:left="160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0"/>
    <w:qFormat/>
    <w:pPr>
      <w:spacing w:before="233"/>
      <w:ind w:left="3399" w:right="3361"/>
      <w:jc w:val="center"/>
    </w:pPr>
    <w:rPr>
      <w:rFonts w:ascii="Gothic Uralic" w:eastAsia="Gothic Uralic" w:hAnsi="Gothic Uralic" w:cs="Gothic Uralic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5373"/>
        <w:tab w:val="right" w:pos="10746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akurzyna</dc:creator>
  <dc:description/>
  <cp:lastModifiedBy>wiktorial</cp:lastModifiedBy>
  <cp:revision>3</cp:revision>
  <dcterms:created xsi:type="dcterms:W3CDTF">2020-07-30T08:18:00Z</dcterms:created>
  <dcterms:modified xsi:type="dcterms:W3CDTF">2020-08-04T11:22:00Z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